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AF" w:rsidRPr="00997BAF" w:rsidRDefault="00997BAF" w:rsidP="00997B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0"/>
          <w:lang w:eastAsia="pl-PL"/>
        </w:rPr>
      </w:pPr>
      <w:r w:rsidRPr="00997BAF">
        <w:rPr>
          <w:rFonts w:ascii="Verdana" w:eastAsia="Times New Roman" w:hAnsi="Verdana" w:cs="Times New Roman"/>
          <w:b/>
          <w:sz w:val="28"/>
          <w:szCs w:val="20"/>
          <w:lang w:eastAsia="pl-PL"/>
        </w:rPr>
        <w:t>Czynniki analizy PEST</w:t>
      </w:r>
    </w:p>
    <w:p w:rsidR="00997BAF" w:rsidRPr="00997BAF" w:rsidRDefault="00997BAF" w:rsidP="00997BAF">
      <w:pPr>
        <w:widowControl w:val="0"/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i/>
          <w:kern w:val="32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93"/>
        <w:gridCol w:w="1985"/>
        <w:gridCol w:w="2016"/>
      </w:tblGrid>
      <w:tr w:rsidR="00997BAF" w:rsidRPr="00997BAF" w:rsidTr="0017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8" w:type="dxa"/>
            <w:gridSpan w:val="4"/>
          </w:tcPr>
          <w:p w:rsidR="00997BAF" w:rsidRPr="00997BAF" w:rsidRDefault="00997BAF" w:rsidP="00997BAF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>Czynniki</w:t>
            </w:r>
          </w:p>
        </w:tc>
      </w:tr>
      <w:tr w:rsidR="00997BAF" w:rsidRPr="00997BAF" w:rsidTr="001755FA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997BAF" w:rsidRPr="00997BAF" w:rsidRDefault="00997BAF" w:rsidP="00997BA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>Polityczne</w:t>
            </w:r>
          </w:p>
        </w:tc>
        <w:tc>
          <w:tcPr>
            <w:tcW w:w="2693" w:type="dxa"/>
          </w:tcPr>
          <w:p w:rsidR="00997BAF" w:rsidRPr="00997BAF" w:rsidRDefault="00997BAF" w:rsidP="00997BA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>Ekonomiczne</w:t>
            </w:r>
          </w:p>
        </w:tc>
        <w:tc>
          <w:tcPr>
            <w:tcW w:w="1985" w:type="dxa"/>
          </w:tcPr>
          <w:p w:rsidR="00997BAF" w:rsidRPr="00997BAF" w:rsidRDefault="00997BAF" w:rsidP="00997BA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>Społeczno-kulturowe</w:t>
            </w:r>
          </w:p>
        </w:tc>
        <w:tc>
          <w:tcPr>
            <w:tcW w:w="2016" w:type="dxa"/>
          </w:tcPr>
          <w:p w:rsidR="00997BAF" w:rsidRPr="00997BAF" w:rsidRDefault="00997BAF" w:rsidP="00997BAF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>Technologiczne</w:t>
            </w:r>
          </w:p>
        </w:tc>
      </w:tr>
      <w:tr w:rsidR="00997BAF" w:rsidRPr="00997BAF" w:rsidTr="001755FA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Stabilność polityki państwa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Przepisy dotyczące prowadzenia działalności gospodarczej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Ustawodawstwo antymonopolowe i dotyczące ochrony konsumenta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Przepisy o ochronie środowiska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Regulacje dotyczące handlu wewnętrznego i międzynarodowego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Prawo pracy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Pomoc finansowa państwa, strefy ekonomiczne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Dostosowanie się do wymogów Unii Europejskiej</w:t>
            </w:r>
          </w:p>
        </w:tc>
        <w:tc>
          <w:tcPr>
            <w:tcW w:w="2693" w:type="dxa"/>
          </w:tcPr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Bezrobocie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Inflacja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Dochód Narodowy Brutto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Stopy procentowe i kursy walut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Dostępność kredytów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System podatkowy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Cykle koniunktury gospodarczej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Poziom eksportu i importu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Dochód dyspozycyjny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Poziom nakładów na naukę, kulturę i oświatę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Poziom nakładów na opiekę zdrowotną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System podatkowy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Poziom ceł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Ceny paliw i energii elektrycznej</w:t>
            </w:r>
          </w:p>
          <w:p w:rsidR="00997BAF" w:rsidRPr="00997BAF" w:rsidRDefault="00997BAF" w:rsidP="00997BAF">
            <w:pPr>
              <w:widowControl w:val="0"/>
              <w:spacing w:before="60" w:after="0" w:line="240" w:lineRule="auto"/>
              <w:outlineLvl w:val="0"/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kern w:val="32"/>
                <w:szCs w:val="20"/>
                <w:lang w:eastAsia="pl-PL"/>
              </w:rPr>
              <w:t>Poziom konkurencji w różnych branżach</w:t>
            </w:r>
          </w:p>
        </w:tc>
        <w:tc>
          <w:tcPr>
            <w:tcW w:w="1985" w:type="dxa"/>
          </w:tcPr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Cechy demograficzne ludności, w tym poziom wykształcenia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Poziom dochodów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Mobilność społeczna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Styl życia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Przepływ informacji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Poziom nauki, kultury i sztuki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Świadomość ekologiczna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Aspiracje pracowników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Wymagania i oczekiwania konsumentów</w:t>
            </w:r>
          </w:p>
        </w:tc>
        <w:tc>
          <w:tcPr>
            <w:tcW w:w="2016" w:type="dxa"/>
          </w:tcPr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Poziom technologiczny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 xml:space="preserve">Zgodność z </w:t>
            </w:r>
            <w:proofErr w:type="gramStart"/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normami jakości</w:t>
            </w:r>
            <w:proofErr w:type="gramEnd"/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Innowacyjność i nowoczesność technologii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Nakłady państwa na badania i rozwój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„Czystość” technologii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Transfer technologii w branży, kraju</w:t>
            </w: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br/>
              <w:t xml:space="preserve"> i zza granicy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97BAF">
              <w:rPr>
                <w:rFonts w:ascii="Verdana" w:eastAsia="Times New Roman" w:hAnsi="Verdana" w:cs="Times New Roman"/>
                <w:szCs w:val="20"/>
                <w:lang w:eastAsia="pl-PL"/>
              </w:rPr>
              <w:t>Stopień informatyzacji przedsiębiorstw</w:t>
            </w:r>
          </w:p>
          <w:p w:rsidR="00997BAF" w:rsidRPr="00997BAF" w:rsidRDefault="00997BAF" w:rsidP="00997BAF">
            <w:pPr>
              <w:spacing w:before="60" w:after="0" w:line="240" w:lineRule="auto"/>
              <w:rPr>
                <w:rFonts w:ascii="Verdana" w:eastAsia="Times New Roman" w:hAnsi="Verdana" w:cs="Times New Roman"/>
                <w:szCs w:val="20"/>
                <w:lang w:eastAsia="pl-PL"/>
              </w:rPr>
            </w:pPr>
          </w:p>
        </w:tc>
      </w:tr>
    </w:tbl>
    <w:p w:rsidR="00CA660D" w:rsidRDefault="00CA660D">
      <w:bookmarkStart w:id="0" w:name="_GoBack"/>
      <w:bookmarkEnd w:id="0"/>
    </w:p>
    <w:sectPr w:rsidR="00CA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AF"/>
    <w:rsid w:val="00000D6F"/>
    <w:rsid w:val="00020F60"/>
    <w:rsid w:val="000250AE"/>
    <w:rsid w:val="00030249"/>
    <w:rsid w:val="00037166"/>
    <w:rsid w:val="00047A56"/>
    <w:rsid w:val="000519B3"/>
    <w:rsid w:val="0006501A"/>
    <w:rsid w:val="00077958"/>
    <w:rsid w:val="000C6B3C"/>
    <w:rsid w:val="000D7659"/>
    <w:rsid w:val="000F228C"/>
    <w:rsid w:val="0010510E"/>
    <w:rsid w:val="00110F9C"/>
    <w:rsid w:val="00124C9B"/>
    <w:rsid w:val="001447F6"/>
    <w:rsid w:val="00187BA8"/>
    <w:rsid w:val="001A3E47"/>
    <w:rsid w:val="001B098F"/>
    <w:rsid w:val="001C300C"/>
    <w:rsid w:val="001C6DE7"/>
    <w:rsid w:val="001D11A6"/>
    <w:rsid w:val="001E7098"/>
    <w:rsid w:val="001F0AB2"/>
    <w:rsid w:val="00201423"/>
    <w:rsid w:val="00201A85"/>
    <w:rsid w:val="00203D93"/>
    <w:rsid w:val="00204E72"/>
    <w:rsid w:val="00207183"/>
    <w:rsid w:val="002120BA"/>
    <w:rsid w:val="002252DA"/>
    <w:rsid w:val="002464AA"/>
    <w:rsid w:val="00263853"/>
    <w:rsid w:val="0027381E"/>
    <w:rsid w:val="00280057"/>
    <w:rsid w:val="00281F48"/>
    <w:rsid w:val="002B20EF"/>
    <w:rsid w:val="002B250A"/>
    <w:rsid w:val="002B3564"/>
    <w:rsid w:val="002D3367"/>
    <w:rsid w:val="002D6123"/>
    <w:rsid w:val="002E1AE9"/>
    <w:rsid w:val="002E699E"/>
    <w:rsid w:val="002F6CA7"/>
    <w:rsid w:val="003170D1"/>
    <w:rsid w:val="00321B91"/>
    <w:rsid w:val="00327EB8"/>
    <w:rsid w:val="00335E60"/>
    <w:rsid w:val="00344006"/>
    <w:rsid w:val="00346818"/>
    <w:rsid w:val="003477A7"/>
    <w:rsid w:val="00371022"/>
    <w:rsid w:val="00372D29"/>
    <w:rsid w:val="00373376"/>
    <w:rsid w:val="00380C4E"/>
    <w:rsid w:val="00386A76"/>
    <w:rsid w:val="003D1FE0"/>
    <w:rsid w:val="003D3768"/>
    <w:rsid w:val="003F0E99"/>
    <w:rsid w:val="00432411"/>
    <w:rsid w:val="004546F1"/>
    <w:rsid w:val="00455CEC"/>
    <w:rsid w:val="00464500"/>
    <w:rsid w:val="0047535B"/>
    <w:rsid w:val="00482A2E"/>
    <w:rsid w:val="004B45D5"/>
    <w:rsid w:val="004B548F"/>
    <w:rsid w:val="004C5975"/>
    <w:rsid w:val="004D6D39"/>
    <w:rsid w:val="004D7968"/>
    <w:rsid w:val="004F2E46"/>
    <w:rsid w:val="00504FDB"/>
    <w:rsid w:val="00506B8E"/>
    <w:rsid w:val="005231D8"/>
    <w:rsid w:val="00537D53"/>
    <w:rsid w:val="00545597"/>
    <w:rsid w:val="00546327"/>
    <w:rsid w:val="00546B17"/>
    <w:rsid w:val="0055544B"/>
    <w:rsid w:val="0055791E"/>
    <w:rsid w:val="00574344"/>
    <w:rsid w:val="00575ECB"/>
    <w:rsid w:val="00581875"/>
    <w:rsid w:val="005839E5"/>
    <w:rsid w:val="00597A2B"/>
    <w:rsid w:val="005B7BA4"/>
    <w:rsid w:val="005C45B9"/>
    <w:rsid w:val="005D6C0A"/>
    <w:rsid w:val="005F36E0"/>
    <w:rsid w:val="005F3BAC"/>
    <w:rsid w:val="005F3D86"/>
    <w:rsid w:val="006045D3"/>
    <w:rsid w:val="006100BA"/>
    <w:rsid w:val="00615762"/>
    <w:rsid w:val="00620CEE"/>
    <w:rsid w:val="006305D8"/>
    <w:rsid w:val="006330B4"/>
    <w:rsid w:val="0066397A"/>
    <w:rsid w:val="006773A6"/>
    <w:rsid w:val="006A544F"/>
    <w:rsid w:val="006A5980"/>
    <w:rsid w:val="006D1BD1"/>
    <w:rsid w:val="006E3372"/>
    <w:rsid w:val="006F2730"/>
    <w:rsid w:val="006F50F3"/>
    <w:rsid w:val="0070069F"/>
    <w:rsid w:val="00715BE5"/>
    <w:rsid w:val="007164B7"/>
    <w:rsid w:val="00717B11"/>
    <w:rsid w:val="00724F14"/>
    <w:rsid w:val="00743ADB"/>
    <w:rsid w:val="007546B4"/>
    <w:rsid w:val="00757AD1"/>
    <w:rsid w:val="007815E0"/>
    <w:rsid w:val="007A77DA"/>
    <w:rsid w:val="007B6C8E"/>
    <w:rsid w:val="007C5D95"/>
    <w:rsid w:val="007E0306"/>
    <w:rsid w:val="007E443A"/>
    <w:rsid w:val="007F0FBB"/>
    <w:rsid w:val="00804A90"/>
    <w:rsid w:val="00804AD2"/>
    <w:rsid w:val="00843D01"/>
    <w:rsid w:val="00864054"/>
    <w:rsid w:val="00877A7D"/>
    <w:rsid w:val="008C6CBA"/>
    <w:rsid w:val="008D262C"/>
    <w:rsid w:val="00910DB2"/>
    <w:rsid w:val="00913710"/>
    <w:rsid w:val="00936786"/>
    <w:rsid w:val="009423BB"/>
    <w:rsid w:val="00960EB4"/>
    <w:rsid w:val="0097395B"/>
    <w:rsid w:val="00985D5B"/>
    <w:rsid w:val="0099053A"/>
    <w:rsid w:val="00997BAF"/>
    <w:rsid w:val="009A12AF"/>
    <w:rsid w:val="009A39F5"/>
    <w:rsid w:val="009A5B0E"/>
    <w:rsid w:val="009B2803"/>
    <w:rsid w:val="009B5A50"/>
    <w:rsid w:val="009B6FB7"/>
    <w:rsid w:val="009D3040"/>
    <w:rsid w:val="009D38E3"/>
    <w:rsid w:val="009D47DA"/>
    <w:rsid w:val="009E5E62"/>
    <w:rsid w:val="009F1298"/>
    <w:rsid w:val="00A510BC"/>
    <w:rsid w:val="00A512A4"/>
    <w:rsid w:val="00A823C5"/>
    <w:rsid w:val="00AB66EF"/>
    <w:rsid w:val="00AD3BC8"/>
    <w:rsid w:val="00AE5A93"/>
    <w:rsid w:val="00B03FEA"/>
    <w:rsid w:val="00B117F4"/>
    <w:rsid w:val="00B32544"/>
    <w:rsid w:val="00B36295"/>
    <w:rsid w:val="00B46967"/>
    <w:rsid w:val="00B90D5D"/>
    <w:rsid w:val="00B9796D"/>
    <w:rsid w:val="00BB5D8F"/>
    <w:rsid w:val="00BC5BFB"/>
    <w:rsid w:val="00BD1BCD"/>
    <w:rsid w:val="00BE0616"/>
    <w:rsid w:val="00BE70E8"/>
    <w:rsid w:val="00C2595A"/>
    <w:rsid w:val="00C3454A"/>
    <w:rsid w:val="00C35E41"/>
    <w:rsid w:val="00C4111B"/>
    <w:rsid w:val="00C43A51"/>
    <w:rsid w:val="00C46F30"/>
    <w:rsid w:val="00C47513"/>
    <w:rsid w:val="00C4770C"/>
    <w:rsid w:val="00C51DED"/>
    <w:rsid w:val="00C702BA"/>
    <w:rsid w:val="00C8033E"/>
    <w:rsid w:val="00C827D2"/>
    <w:rsid w:val="00C85AD3"/>
    <w:rsid w:val="00CA3D0B"/>
    <w:rsid w:val="00CA660D"/>
    <w:rsid w:val="00CC2190"/>
    <w:rsid w:val="00CC32EF"/>
    <w:rsid w:val="00CD792A"/>
    <w:rsid w:val="00CE1BA9"/>
    <w:rsid w:val="00D021A6"/>
    <w:rsid w:val="00D71FF7"/>
    <w:rsid w:val="00D8257D"/>
    <w:rsid w:val="00D94029"/>
    <w:rsid w:val="00DC22F6"/>
    <w:rsid w:val="00DD68B4"/>
    <w:rsid w:val="00DE638A"/>
    <w:rsid w:val="00DF5780"/>
    <w:rsid w:val="00DF727C"/>
    <w:rsid w:val="00DF7D64"/>
    <w:rsid w:val="00E001FB"/>
    <w:rsid w:val="00E027B8"/>
    <w:rsid w:val="00E03965"/>
    <w:rsid w:val="00E138EB"/>
    <w:rsid w:val="00E1484B"/>
    <w:rsid w:val="00E16BF0"/>
    <w:rsid w:val="00E21F02"/>
    <w:rsid w:val="00E2707F"/>
    <w:rsid w:val="00E376F6"/>
    <w:rsid w:val="00E66C9F"/>
    <w:rsid w:val="00E750BD"/>
    <w:rsid w:val="00E96F5C"/>
    <w:rsid w:val="00E97BF0"/>
    <w:rsid w:val="00EA712E"/>
    <w:rsid w:val="00EA7525"/>
    <w:rsid w:val="00EE0F82"/>
    <w:rsid w:val="00EE15F5"/>
    <w:rsid w:val="00F07E2E"/>
    <w:rsid w:val="00F104C3"/>
    <w:rsid w:val="00F14EBE"/>
    <w:rsid w:val="00F40C99"/>
    <w:rsid w:val="00F4445B"/>
    <w:rsid w:val="00F46325"/>
    <w:rsid w:val="00F56400"/>
    <w:rsid w:val="00F75021"/>
    <w:rsid w:val="00F76489"/>
    <w:rsid w:val="00F96C58"/>
    <w:rsid w:val="00FB483A"/>
    <w:rsid w:val="00FB4BB4"/>
    <w:rsid w:val="00FD7EB5"/>
    <w:rsid w:val="00FE373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A0BC-4B6E-402B-9F63-652AAFF0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Szczepańczyk</dc:creator>
  <cp:keywords/>
  <dc:description/>
  <cp:lastModifiedBy>Maciej Szczepańczyk</cp:lastModifiedBy>
  <cp:revision>1</cp:revision>
  <dcterms:created xsi:type="dcterms:W3CDTF">2014-01-12T12:06:00Z</dcterms:created>
  <dcterms:modified xsi:type="dcterms:W3CDTF">2014-01-12T12:06:00Z</dcterms:modified>
</cp:coreProperties>
</file>