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0D" w:rsidRDefault="008A68DE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-556895</wp:posOffset>
                </wp:positionV>
                <wp:extent cx="9071610" cy="6508115"/>
                <wp:effectExtent l="0" t="0" r="0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1610" cy="6508115"/>
                          <a:chOff x="1539" y="540"/>
                          <a:chExt cx="14286" cy="1024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9" y="4428"/>
                            <a:ext cx="3525" cy="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A7" w:firstRow="1" w:lastRow="0" w:firstColumn="1" w:lastColumn="0" w:noHBand="0" w:noVBand="0"/>
                              </w:tblPr>
                              <w:tblGrid>
                                <w:gridCol w:w="1985"/>
                                <w:gridCol w:w="425"/>
                                <w:gridCol w:w="425"/>
                              </w:tblGrid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Siła przetargowa dostawców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Koncentracja dostawców w stosunku do sektora jest 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 w:rsidT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27"/>
                                </w:trPr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Dostępność produktów substytucyjnych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Znaczenie 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</w:rPr>
                                      <w:t>sektora jako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</w:rPr>
                                      <w:t xml:space="preserve"> klienta dla dostawców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Zróżnicowanie wyrobów i usług dostawców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Koszty zmiany dostawców są dla sektora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98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Groźba integracji wprzód dostawców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68DE" w:rsidRDefault="008A68DE" w:rsidP="008A68D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631" y="3962"/>
                            <a:ext cx="3182" cy="9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5E5E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12" y="540"/>
                            <a:ext cx="5479" cy="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A7" w:firstRow="1" w:lastRow="0" w:firstColumn="1" w:lastColumn="0" w:noHBand="0" w:noVBand="0"/>
                              </w:tblPr>
                              <w:tblGrid>
                                <w:gridCol w:w="4536"/>
                                <w:gridCol w:w="426"/>
                                <w:gridCol w:w="425"/>
                              </w:tblGrid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Groźba nowych wejść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Ekonomia skali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Zróżnicowanie produktów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Potrzeby kapitałowe są 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Koszty zmiany dostawcy przez klientów sektora są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Kontrola kanałów dystrybucji sprawowana przez firmy w sektorze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Wyłączność techniki produkcji firm w sektorze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Dostęp firm w sektorze do surowców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Korzystanie z subsydiów państwowych przez firmy w sektorze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8A68DE" w:rsidRDefault="008A68DE" w:rsidP="008A68D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04" y="4557"/>
                            <a:ext cx="3455" cy="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A7" w:firstRow="1" w:lastRow="0" w:firstColumn="1" w:lastColumn="0" w:noHBand="0" w:noVBand="0"/>
                              </w:tblPr>
                              <w:tblGrid>
                                <w:gridCol w:w="2268"/>
                                <w:gridCol w:w="426"/>
                                <w:gridCol w:w="425"/>
                              </w:tblGrid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Siła przetargowa nabywców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Koncentracja nabywców w stosunku do sektora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Wolumen zakupu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Udział sektora w tworzeniu kosztów nabywców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Zróżnicowanie produktów kupowanych w sektorze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Groźba integracji wstecz nabywców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47"/>
                                </w:trPr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Znajomość struktury kosztów sektora przez nabywców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Zyski nabywców są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6" w:space="0" w:color="000000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268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Ważność 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</w:rPr>
                                      <w:t>wkładu jaki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</w:rPr>
                                      <w:t xml:space="preserve"> sektor wnosi w jakość finalnego produktu nabywcy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40" y="4900"/>
                            <a:ext cx="3530" cy="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A7" w:firstRow="1" w:lastRow="0" w:firstColumn="1" w:lastColumn="0" w:noHBand="0" w:noVBand="0"/>
                              </w:tblPr>
                              <w:tblGrid>
                                <w:gridCol w:w="2552"/>
                                <w:gridCol w:w="425"/>
                                <w:gridCol w:w="425"/>
                              </w:tblGrid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Stopień rywalizacji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br/>
                                      <w:t>między konkurentami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Liczba konkurentów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Stopa wzrostu sektora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Stałe koszty są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Koszty składowania są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Zróżnicowanie produktów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Skokowy przyrost zdolności produkcyjnych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C0C0C0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Różnorodność konkurentów jest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clear" w:color="auto" w:fill="C0C0C0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Koszty zmiany dostawcy przez klientów sektora są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Bariery wyjścia są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52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Stawki strategiczne, o które toczy się gra w sektorze są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68DE" w:rsidRDefault="008A68DE" w:rsidP="008A68D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87" y="9270"/>
                            <a:ext cx="5504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  <w:insideH w:val="single" w:sz="6" w:space="0" w:color="000000"/>
                                  <w:insideV w:val="single" w:sz="6" w:space="0" w:color="000000"/>
                                </w:tblBorders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A7" w:firstRow="1" w:lastRow="0" w:firstColumn="1" w:lastColumn="0" w:noHBand="0" w:noVBand="0"/>
                              </w:tblPr>
                              <w:tblGrid>
                                <w:gridCol w:w="4536"/>
                                <w:gridCol w:w="426"/>
                                <w:gridCol w:w="425"/>
                              </w:tblGrid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Groźba pojawienia się substytutów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bottom w:val="nil"/>
                                    </w:tcBorders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Zyskowność sektorów produkujących substytuty jest 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8A68DE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536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Skuteczność zastępowania wyrobów danego sektora pod względem cenowo-efektywnościowym przez substytuty jest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shd w:val="pct20" w:color="auto" w:fill="auto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8A68DE" w:rsidRDefault="008A68DE" w:rsidP="008A68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8A68DE" w:rsidRDefault="008A68DE" w:rsidP="008A68D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07" y="3962"/>
                            <a:ext cx="196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5E5E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FIRMA X</w:t>
                              </w: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inne firmy w sektorze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27" y="3573"/>
                            <a:ext cx="1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9" y="8469"/>
                            <a:ext cx="1" cy="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24" y="6489"/>
                            <a:ext cx="20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0" y="6489"/>
                            <a:ext cx="202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77" y="645"/>
                            <a:ext cx="4348" cy="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68DE" w:rsidRDefault="008A68DE" w:rsidP="008A68DE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Legenda</w:t>
                              </w:r>
                            </w:p>
                            <w:p w:rsidR="008A68DE" w:rsidRDefault="008A68DE" w:rsidP="008A68DE">
                              <w:pPr>
                                <w:pStyle w:val="rdo"/>
                              </w:pPr>
                              <w:proofErr w:type="gramStart"/>
                              <w:r>
                                <w:t>w</w:t>
                              </w:r>
                              <w:proofErr w:type="gramEnd"/>
                              <w:r>
                                <w:t xml:space="preserve"> - wysoki/a</w:t>
                              </w:r>
                            </w:p>
                            <w:p w:rsidR="008A68DE" w:rsidRDefault="008A68DE" w:rsidP="008A68DE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- niski/a</w:t>
                              </w:r>
                            </w:p>
                            <w:p w:rsidR="008A68DE" w:rsidRDefault="008A68DE" w:rsidP="008A68D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- oznaczenie wartości (wysokiej lub niskiej) danego czynnika, która wpływa</w:t>
                              </w:r>
                            </w:p>
                            <w:p w:rsidR="008A68DE" w:rsidRDefault="008A68DE" w:rsidP="008A68DE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na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wysokie natężenie określonej siły konkurencji w sektorze</w:t>
                              </w:r>
                            </w:p>
                            <w:p w:rsidR="008A68DE" w:rsidRDefault="008A68DE" w:rsidP="008A68DE">
                              <w:pPr>
                                <w:pStyle w:val="rdo"/>
                                <w:widowControl/>
                              </w:pPr>
                              <w:r>
                                <w:t>X - wartość (wysoka lub niska) danego czynnika w badanym sektorze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507" y="1684"/>
                            <a:ext cx="221" cy="215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3.1pt;margin-top:-43.85pt;width:714.3pt;height:512.45pt;z-index:251658240" coordorigin="1539,540" coordsize="14286,10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">
                <v:rect id="Rectangle 3" o:spid="_x0000_s1027" style="position:absolute;left:1539;top:4428;width:3525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IOMIA&#10;AADaAAAADwAAAGRycy9kb3ducmV2LnhtbESPW4vCMBSE3wX/QzgLvmlqwVvXKLogLD6tt/dDc7bt&#10;2pzEJlu7/34jCD4OM/MNs1x3phYtNb6yrGA8SkAQ51ZXXCg4n3bDOQgfkDXWlknBH3lYr/q9JWba&#10;3vlA7TEUIkLYZ6igDMFlUvq8JIN+ZB1x9L5tYzBE2RRSN3iPcFPLNEmm0mDFcaFERx8l5dfjr1Fw&#10;Hd8m7Y+e7RfzKW/T/Ze7uJ1TavDWbd5BBOrCK/xsf2oFKTyu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8g4wgAAANoAAAAPAAAAAAAAAAAAAAAAAJgCAABkcnMvZG93&#10;bnJldi54bWxQSwUGAAAAAAQABAD1AAAAhwMAAAAA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7" w:firstRow="1" w:lastRow="0" w:firstColumn="1" w:lastColumn="0" w:noHBand="0" w:noVBand="0"/>
                        </w:tblPr>
                        <w:tblGrid>
                          <w:gridCol w:w="1985"/>
                          <w:gridCol w:w="425"/>
                          <w:gridCol w:w="425"/>
                        </w:tblGrid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Siła przetargowa dostawców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Koncentracja dostawców w stosunku do sektora jest 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 w:rsidT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7"/>
                          </w:trPr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Dostępność produktów substytucyjnych jest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Znaczenie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sektora jako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klienta dla dostawców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Zróżnicowanie wyrobów i usług dostawców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Koszty zmiany dostawców są dla sektora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98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Groźba integracji wprzód dostawców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8A68DE" w:rsidRDefault="008A68DE" w:rsidP="008A68D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oval id="Oval 4" o:spid="_x0000_s1028" style="position:absolute;left:6631;top:3962;width:31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2D8MA&#10;AADaAAAADwAAAGRycy9kb3ducmV2LnhtbESPwWrDMBBE74H+g9hCL6GRnUIorpUQXAq5FFLX4Oti&#10;bWQTa2UsNbH79VGhkOMwM2+YfDfZXlxo9J1jBekqAUHcON2xUVB9fzy/gvABWWPvmBTM5GG3fVjk&#10;mGl35S+6lMGICGGfoYI2hCGT0jctWfQrNxBH7+RGiyHK0Ug94jXCbS/XSbKRFjuOCy0OVLTUnMsf&#10;q6BOSzMX1Se/z6Y+H9beLI+/Rqmnx2n/BiLQFO7h//ZBK3iBvyvxBs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2D8MAAADaAAAADwAAAAAAAAAAAAAAAACYAgAAZHJzL2Rv&#10;d25yZXYueG1sUEsFBgAAAAAEAAQA9QAAAIgDAAAAAA==&#10;" filled="f" fillcolor="#e5e5e5"/>
                <v:rect id="Rectangle 5" o:spid="_x0000_s1029" style="position:absolute;left:5412;top:540;width:5479;height:3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7" w:firstRow="1" w:lastRow="0" w:firstColumn="1" w:lastColumn="0" w:noHBand="0" w:noVBand="0"/>
                        </w:tblPr>
                        <w:tblGrid>
                          <w:gridCol w:w="4536"/>
                          <w:gridCol w:w="426"/>
                          <w:gridCol w:w="425"/>
                        </w:tblGrid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Groźba nowych wejść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Ekonomia skali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Zróżnicowanie produktów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Potrzeby kapitałowe są 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Koszty zmiany dostawcy przez klientów sektora są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Kontrola kanałów dystrybucji sprawowana przez firmy w sektorze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Wyłączność techniki produkcji firm w sektorze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Dostęp firm w sektorze do surowców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Korzystanie z subsydiów państwowych przez firmy w sektorze jest</w:t>
                              </w:r>
                            </w:p>
                          </w:tc>
                          <w:tc>
                            <w:tcPr>
                              <w:tcW w:w="42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8A68DE" w:rsidRDefault="008A68DE" w:rsidP="008A68D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2004;top:4557;width:3455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7" w:firstRow="1" w:lastRow="0" w:firstColumn="1" w:lastColumn="0" w:noHBand="0" w:noVBand="0"/>
                        </w:tblPr>
                        <w:tblGrid>
                          <w:gridCol w:w="2268"/>
                          <w:gridCol w:w="426"/>
                          <w:gridCol w:w="425"/>
                        </w:tblGrid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Siła przetargowa nabywców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Koncentracja nabywców w stosunku do sektora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Wolumen zakupu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Udział sektora w tworzeniu kosztów nabywców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Zróżnicowanie produktów kupowanych w sektorze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Groźba integracji wstecz nabywców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47"/>
                          </w:trPr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Znajomość struktury kosztów sektora przez nabywców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Zyski nabywców są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6" w:space="0" w:color="000000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268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Ważność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wkładu jaki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sektor wnosi w jakość finalnego produktu nabywcy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8A68DE" w:rsidRDefault="008A68DE" w:rsidP="008A68DE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6540;top:4900;width:3530;height: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S8sIA&#10;AADaAAAADwAAAGRycy9kb3ducmV2LnhtbESPT2uDQBTE74V8h+UFcil1tQdbrKsEIbSXHmoCvT7c&#10;5x/ivhV3o/bbZwuFHoeZ+Q2Tl5sZxUKzGywrSKIYBHFj9cCdgsv59PQKwnlkjaNlUvBDDspi95Bj&#10;pu3KX7TUvhMBwi5DBb33Uyala3oy6CI7EQevtbNBH+TcST3jGuBmlM9xnEqDA4eFHieqemqu9c0o&#10;qGJpm/f2JXn8rs5t97ktyYiLUof9dnwD4Wnz/+G/9odWkMLvlXA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hLywgAAANoAAAAPAAAAAAAAAAAAAAAAAJgCAABkcnMvZG93&#10;bnJldi54bWxQSwUGAAAAAAQABAD1AAAAhwMAAAAA&#10;" filled="f" stroked="f" strokecolor="blue" strokeweight="1pt">
                  <v:textbox inset="1pt,1pt,1pt,1pt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7" w:firstRow="1" w:lastRow="0" w:firstColumn="1" w:lastColumn="0" w:noHBand="0" w:noVBand="0"/>
                        </w:tblPr>
                        <w:tblGrid>
                          <w:gridCol w:w="2552"/>
                          <w:gridCol w:w="425"/>
                          <w:gridCol w:w="425"/>
                        </w:tblGrid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Stopień rywalizacji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br/>
                                <w:t>między konkurentami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Liczba konkurentów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Stopa wzrostu sektora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Stałe koszty są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Koszty składowania są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Zróżnicowanie produktów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Skokowy przyrost zdolności produkcyjnych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C0C0C0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Różnorodność konkurentów jest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C0C0C0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Koszty zmiany dostawcy przez klientów sektora są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Bariery wyjścia są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52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Stawki strategiczne, o które toczy się gra w sektorze są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8A68DE" w:rsidRDefault="008A68DE" w:rsidP="008A68D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5387;top:9270;width:5504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roMIA&#10;AADaAAAADwAAAGRycy9kb3ducmV2LnhtbESPW4vCMBSE34X9D+Es+KapgrdqFBUE8cnL7vuhOdt2&#10;bU5iE2v3328EwcdhZr5hFqvWVKKh2peWFQz6CQjizOqScwVfl11vCsIHZI2VZVLwRx5Wy4/OAlNt&#10;H3yi5hxyESHsU1RQhOBSKX1WkEHft444ej+2NhiirHOpa3xEuKnkMEnG0mDJcaFAR9uCsuv5bhRc&#10;B7dR86snh9l0zJvh4ei+3c4p1f1s13MQgdrwDr/ae61gA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GugwgAAANoAAAAPAAAAAAAAAAAAAAAAAJgCAABkcnMvZG93&#10;bnJldi54bWxQSwUGAAAAAAQABAD1AAAAhwMAAAAA&#10;" filled="f" stroked="f" strokeweight="1pt">
                  <v:textbox inset="1pt,1pt,1pt,1pt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7" w:firstRow="1" w:lastRow="0" w:firstColumn="1" w:lastColumn="0" w:noHBand="0" w:noVBand="0"/>
                        </w:tblPr>
                        <w:tblGrid>
                          <w:gridCol w:w="4536"/>
                          <w:gridCol w:w="426"/>
                          <w:gridCol w:w="425"/>
                        </w:tblGrid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Groźba pojawienia się substytutów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bottom w:val="nil"/>
                              </w:tcBorders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Zyskowność sektorów produkujących substytuty jest 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  <w:tr w:rsidR="008A68DE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536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Skuteczność zastępowania wyrobów danego sektora pod względem cenowo-efektywnościowym przez substytuty jest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pct20" w:color="auto" w:fill="auto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8A68DE" w:rsidRDefault="008A68DE" w:rsidP="008A68D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8A68DE" w:rsidRDefault="008A68DE" w:rsidP="008A68D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7307;top:3962;width:1960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2LsIA&#10;AADaAAAADwAAAGRycy9kb3ducmV2LnhtbESPwYrCQAyG74LvMETYm53qQaTrKCIoHkS21QcInWxb&#10;tpPpdkZb335zWPAY/vxf8m12o2vVk/rQeDawSFJQxKW3DVcG7rfjfA0qRGSLrWcy8KIAu+10ssHM&#10;+oFzehaxUgLhkKGBOsYu0zqUNTkMie+IJfv2vcMoY19p2+MgcNfqZZqutMOG5UKNHR1qKn+KhxNK&#10;WYT8crwdrl+PfH8eTqvLtfs15mM27j9BRRrje/m/fbYG5FdREQ3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fYuwgAAANoAAAAPAAAAAAAAAAAAAAAAAJgCAABkcnMvZG93&#10;bnJldi54bWxQSwUGAAAAAAQABAD1AAAAhwMAAAAA&#10;" filled="f" fillcolor="#e5e5e5" stroked="f">
                  <v:textbox inset="1pt,1pt,1pt,1pt">
                    <w:txbxContent>
                      <w:p w:rsidR="008A68DE" w:rsidRDefault="008A68DE" w:rsidP="008A68D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FIRMA X</w:t>
                        </w:r>
                      </w:p>
                      <w:p w:rsidR="008A68DE" w:rsidRDefault="008A68DE" w:rsidP="008A68D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i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inne firmy w sektorze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8227,3573" to="822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8149,8469" to="8150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2" o:spid="_x0000_s1036" style="position:absolute;visibility:visible;mso-wrap-style:square" from="4524,6489" to="6540,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flip:x;visibility:visible;mso-wrap-style:square" from="10070,6489" to="12097,6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rect id="Rectangle 14" o:spid="_x0000_s1038" style="position:absolute;left:11477;top:645;width:434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WcAA&#10;AADbAAAADwAAAGRycy9kb3ducmV2LnhtbERPTWvCQBC9F/oflhF6KXVjBS3RVapQEPHSKHgdsmMS&#10;zM6G7CSm/94VhN7m8T5nuR5crXpqQ+XZwGScgCLOva24MHA6/nx8gQqCbLH2TAb+KMB69fqyxNT6&#10;G/9Sn0mhYgiHFA2UIk2qdchLchjGviGO3MW3DiXCttC2xVsMd7X+TJKZdlhxbCixoW1J+TXrnIH+&#10;fD5s6NTpSY8yf9/tO6lmZMzbaPhegBIa5F/8dO9snD+Fxy/x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ZEWcAAAADbAAAADwAAAAAAAAAAAAAAAACYAgAAZHJzL2Rvd25y&#10;ZXYueG1sUEsFBgAAAAAEAAQA9QAAAIUDAAAAAA==&#10;" filled="f" stroked="f">
                  <v:textbox inset="1pt,1pt,1pt,1pt">
                    <w:txbxContent>
                      <w:p w:rsidR="008A68DE" w:rsidRDefault="008A68DE" w:rsidP="008A68DE">
                        <w:pPr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Legenda</w:t>
                        </w:r>
                      </w:p>
                      <w:p w:rsidR="008A68DE" w:rsidRDefault="008A68DE" w:rsidP="008A68DE">
                        <w:pPr>
                          <w:pStyle w:val="rdo"/>
                        </w:pPr>
                        <w:proofErr w:type="gramStart"/>
                        <w:r>
                          <w:t>w</w:t>
                        </w:r>
                        <w:proofErr w:type="gramEnd"/>
                        <w:r>
                          <w:t xml:space="preserve"> - wysoki/a</w:t>
                        </w:r>
                      </w:p>
                      <w:p w:rsidR="008A68DE" w:rsidRDefault="008A68DE" w:rsidP="008A68DE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- niski/a</w:t>
                        </w:r>
                      </w:p>
                      <w:p w:rsidR="008A68DE" w:rsidRDefault="008A68DE" w:rsidP="008A68D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- oznaczenie wartości (wysokiej lub niskiej) danego czynnika, która wpływa</w:t>
                        </w:r>
                      </w:p>
                      <w:p w:rsidR="008A68DE" w:rsidRDefault="008A68DE" w:rsidP="008A68DE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wysokie natężenie określonej siły konkurencji w sektorze</w:t>
                        </w:r>
                      </w:p>
                      <w:p w:rsidR="008A68DE" w:rsidRDefault="008A68DE" w:rsidP="008A68DE">
                        <w:pPr>
                          <w:pStyle w:val="rdo"/>
                          <w:widowControl/>
                        </w:pPr>
                        <w:r>
                          <w:t>X - wartość (wysoka lub niska) danego czynnika w badanym sektorze</w:t>
                        </w:r>
                      </w:p>
                    </w:txbxContent>
                  </v:textbox>
                </v:rect>
                <v:rect id="Rectangle 15" o:spid="_x0000_s1039" style="position:absolute;left:11507;top:1684;width:221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WbcMA&#10;AADbAAAADwAAAGRycy9kb3ducmV2LnhtbERPS2vCQBC+C/6HZQq9SLOxFqmpq4ho8FCKL3IestNs&#10;aHY2ZFdN++vdQqG3+fieM1/2thFX6nztWME4SUEQl07XXCk4n7ZPryB8QNbYOCYF3+RhuRgO5php&#10;d+MDXY+hEjGEfYYKTAhtJqUvDVn0iWuJI/fpOoshwq6SusNbDLeNfE7TqbRYc2ww2NLaUPl1vFgF&#10;p73Ji1k++cjrVX5534ymP2mBSj0+9Ks3EIH68C/+c+90nP8Cv7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WbcMAAADbAAAADwAAAAAAAAAAAAAAAACYAgAAZHJzL2Rv&#10;d25yZXYueG1sUEsFBgAAAAAEAAQA9QAAAIgDAAAAAA==&#10;" fillcolor="#b2b2b2"/>
              </v:group>
            </w:pict>
          </mc:Fallback>
        </mc:AlternateContent>
      </w:r>
    </w:p>
    <w:sectPr w:rsidR="00CA660D" w:rsidSect="008A6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DE"/>
    <w:rsid w:val="00000D6F"/>
    <w:rsid w:val="00020F60"/>
    <w:rsid w:val="000250AE"/>
    <w:rsid w:val="00030249"/>
    <w:rsid w:val="00037166"/>
    <w:rsid w:val="00047A56"/>
    <w:rsid w:val="000519B3"/>
    <w:rsid w:val="0006501A"/>
    <w:rsid w:val="00077958"/>
    <w:rsid w:val="000C6B3C"/>
    <w:rsid w:val="000D7659"/>
    <w:rsid w:val="000F228C"/>
    <w:rsid w:val="0010510E"/>
    <w:rsid w:val="00110F9C"/>
    <w:rsid w:val="00124C9B"/>
    <w:rsid w:val="001447F6"/>
    <w:rsid w:val="00187BA8"/>
    <w:rsid w:val="001A3E47"/>
    <w:rsid w:val="001B098F"/>
    <w:rsid w:val="001C300C"/>
    <w:rsid w:val="001C6DE7"/>
    <w:rsid w:val="001D11A6"/>
    <w:rsid w:val="001E7098"/>
    <w:rsid w:val="001F0AB2"/>
    <w:rsid w:val="00201423"/>
    <w:rsid w:val="00201A85"/>
    <w:rsid w:val="00203D93"/>
    <w:rsid w:val="00204E72"/>
    <w:rsid w:val="00207183"/>
    <w:rsid w:val="002120BA"/>
    <w:rsid w:val="002252DA"/>
    <w:rsid w:val="002464AA"/>
    <w:rsid w:val="00263853"/>
    <w:rsid w:val="0027381E"/>
    <w:rsid w:val="00280057"/>
    <w:rsid w:val="00281F48"/>
    <w:rsid w:val="002B20EF"/>
    <w:rsid w:val="002B250A"/>
    <w:rsid w:val="002B3564"/>
    <w:rsid w:val="002D3367"/>
    <w:rsid w:val="002D6123"/>
    <w:rsid w:val="002E1AE9"/>
    <w:rsid w:val="002E699E"/>
    <w:rsid w:val="002F6CA7"/>
    <w:rsid w:val="003170D1"/>
    <w:rsid w:val="00321B91"/>
    <w:rsid w:val="00327EB8"/>
    <w:rsid w:val="00335E60"/>
    <w:rsid w:val="00344006"/>
    <w:rsid w:val="00346818"/>
    <w:rsid w:val="003477A7"/>
    <w:rsid w:val="00371022"/>
    <w:rsid w:val="00372D29"/>
    <w:rsid w:val="00373376"/>
    <w:rsid w:val="00380C4E"/>
    <w:rsid w:val="00386A76"/>
    <w:rsid w:val="003D1FE0"/>
    <w:rsid w:val="003D3768"/>
    <w:rsid w:val="003F0E99"/>
    <w:rsid w:val="00432411"/>
    <w:rsid w:val="004546F1"/>
    <w:rsid w:val="00455CEC"/>
    <w:rsid w:val="00464500"/>
    <w:rsid w:val="0047535B"/>
    <w:rsid w:val="00482A2E"/>
    <w:rsid w:val="004B45D5"/>
    <w:rsid w:val="004B548F"/>
    <w:rsid w:val="004C5975"/>
    <w:rsid w:val="004D6D39"/>
    <w:rsid w:val="004D7968"/>
    <w:rsid w:val="004F2E46"/>
    <w:rsid w:val="00504FDB"/>
    <w:rsid w:val="00506B8E"/>
    <w:rsid w:val="005231D8"/>
    <w:rsid w:val="00537D53"/>
    <w:rsid w:val="00545597"/>
    <w:rsid w:val="00546327"/>
    <w:rsid w:val="00546B17"/>
    <w:rsid w:val="0055544B"/>
    <w:rsid w:val="0055791E"/>
    <w:rsid w:val="00574344"/>
    <w:rsid w:val="00575ECB"/>
    <w:rsid w:val="00581875"/>
    <w:rsid w:val="005839E5"/>
    <w:rsid w:val="00597A2B"/>
    <w:rsid w:val="005B7BA4"/>
    <w:rsid w:val="005C45B9"/>
    <w:rsid w:val="005D6C0A"/>
    <w:rsid w:val="005F36E0"/>
    <w:rsid w:val="005F3BAC"/>
    <w:rsid w:val="005F3D86"/>
    <w:rsid w:val="006045D3"/>
    <w:rsid w:val="006100BA"/>
    <w:rsid w:val="00615762"/>
    <w:rsid w:val="00620CEE"/>
    <w:rsid w:val="006305D8"/>
    <w:rsid w:val="006330B4"/>
    <w:rsid w:val="0066397A"/>
    <w:rsid w:val="006773A6"/>
    <w:rsid w:val="006A544F"/>
    <w:rsid w:val="006A5980"/>
    <w:rsid w:val="006D1BD1"/>
    <w:rsid w:val="006E3372"/>
    <w:rsid w:val="006F2730"/>
    <w:rsid w:val="006F50F3"/>
    <w:rsid w:val="00715BE5"/>
    <w:rsid w:val="007164B7"/>
    <w:rsid w:val="00717B11"/>
    <w:rsid w:val="00724F14"/>
    <w:rsid w:val="00743ADB"/>
    <w:rsid w:val="007546B4"/>
    <w:rsid w:val="00757AD1"/>
    <w:rsid w:val="007815E0"/>
    <w:rsid w:val="007A77DA"/>
    <w:rsid w:val="007B6C8E"/>
    <w:rsid w:val="007C5D95"/>
    <w:rsid w:val="007E0306"/>
    <w:rsid w:val="007E443A"/>
    <w:rsid w:val="007F0FBB"/>
    <w:rsid w:val="00804A90"/>
    <w:rsid w:val="00804AD2"/>
    <w:rsid w:val="00843D01"/>
    <w:rsid w:val="00864054"/>
    <w:rsid w:val="00877A7D"/>
    <w:rsid w:val="008A68DE"/>
    <w:rsid w:val="008C6CBA"/>
    <w:rsid w:val="008D262C"/>
    <w:rsid w:val="00910DB2"/>
    <w:rsid w:val="00913710"/>
    <w:rsid w:val="00936786"/>
    <w:rsid w:val="009423BB"/>
    <w:rsid w:val="00960EB4"/>
    <w:rsid w:val="0097395B"/>
    <w:rsid w:val="00985D5B"/>
    <w:rsid w:val="0099053A"/>
    <w:rsid w:val="009A12AF"/>
    <w:rsid w:val="009A39F5"/>
    <w:rsid w:val="009A5B0E"/>
    <w:rsid w:val="009B2803"/>
    <w:rsid w:val="009B5A50"/>
    <w:rsid w:val="009B6FB7"/>
    <w:rsid w:val="009D3040"/>
    <w:rsid w:val="009D38E3"/>
    <w:rsid w:val="009D47DA"/>
    <w:rsid w:val="009E5E62"/>
    <w:rsid w:val="009F1298"/>
    <w:rsid w:val="00A510BC"/>
    <w:rsid w:val="00A512A4"/>
    <w:rsid w:val="00A823C5"/>
    <w:rsid w:val="00AB66EF"/>
    <w:rsid w:val="00AD3BC8"/>
    <w:rsid w:val="00AE5A93"/>
    <w:rsid w:val="00B03FEA"/>
    <w:rsid w:val="00B117F4"/>
    <w:rsid w:val="00B32544"/>
    <w:rsid w:val="00B36295"/>
    <w:rsid w:val="00B46967"/>
    <w:rsid w:val="00B90D5D"/>
    <w:rsid w:val="00B9796D"/>
    <w:rsid w:val="00BB5D8F"/>
    <w:rsid w:val="00BC5BFB"/>
    <w:rsid w:val="00BD1BCD"/>
    <w:rsid w:val="00BE0616"/>
    <w:rsid w:val="00BE70E8"/>
    <w:rsid w:val="00C2595A"/>
    <w:rsid w:val="00C3454A"/>
    <w:rsid w:val="00C35E41"/>
    <w:rsid w:val="00C4111B"/>
    <w:rsid w:val="00C43A51"/>
    <w:rsid w:val="00C46F30"/>
    <w:rsid w:val="00C47513"/>
    <w:rsid w:val="00C4770C"/>
    <w:rsid w:val="00C51DED"/>
    <w:rsid w:val="00C702BA"/>
    <w:rsid w:val="00C8033E"/>
    <w:rsid w:val="00C827D2"/>
    <w:rsid w:val="00C85AD3"/>
    <w:rsid w:val="00CA3D0B"/>
    <w:rsid w:val="00CA660D"/>
    <w:rsid w:val="00CC2190"/>
    <w:rsid w:val="00CC32EF"/>
    <w:rsid w:val="00CD792A"/>
    <w:rsid w:val="00CE1BA9"/>
    <w:rsid w:val="00D021A6"/>
    <w:rsid w:val="00D71FF7"/>
    <w:rsid w:val="00D8257D"/>
    <w:rsid w:val="00D94029"/>
    <w:rsid w:val="00DC22F6"/>
    <w:rsid w:val="00DD68B4"/>
    <w:rsid w:val="00DE638A"/>
    <w:rsid w:val="00DF5780"/>
    <w:rsid w:val="00DF727C"/>
    <w:rsid w:val="00DF7D64"/>
    <w:rsid w:val="00E001FB"/>
    <w:rsid w:val="00E027B8"/>
    <w:rsid w:val="00E03965"/>
    <w:rsid w:val="00E138EB"/>
    <w:rsid w:val="00E1484B"/>
    <w:rsid w:val="00E16BF0"/>
    <w:rsid w:val="00E21F02"/>
    <w:rsid w:val="00E2707F"/>
    <w:rsid w:val="00E376F6"/>
    <w:rsid w:val="00E66C9F"/>
    <w:rsid w:val="00E750BD"/>
    <w:rsid w:val="00E96F5C"/>
    <w:rsid w:val="00E97BF0"/>
    <w:rsid w:val="00EA712E"/>
    <w:rsid w:val="00EA7525"/>
    <w:rsid w:val="00EE0F82"/>
    <w:rsid w:val="00EE15F5"/>
    <w:rsid w:val="00F07E2E"/>
    <w:rsid w:val="00F104C3"/>
    <w:rsid w:val="00F14EBE"/>
    <w:rsid w:val="00F40C99"/>
    <w:rsid w:val="00F4445B"/>
    <w:rsid w:val="00F46325"/>
    <w:rsid w:val="00F56400"/>
    <w:rsid w:val="00F75021"/>
    <w:rsid w:val="00F76489"/>
    <w:rsid w:val="00F96C58"/>
    <w:rsid w:val="00FB483A"/>
    <w:rsid w:val="00FB4BB4"/>
    <w:rsid w:val="00FD7EB5"/>
    <w:rsid w:val="00FE373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5D6D-4FFF-4864-A11A-A2A7BF7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do">
    <w:name w:val="Źródło"/>
    <w:basedOn w:val="Normalny"/>
    <w:rsid w:val="008A68DE"/>
    <w:pPr>
      <w:widowControl w:val="0"/>
      <w:spacing w:before="120" w:after="0" w:line="240" w:lineRule="auto"/>
      <w:ind w:left="357"/>
      <w:jc w:val="both"/>
      <w:outlineLvl w:val="0"/>
    </w:pPr>
    <w:rPr>
      <w:rFonts w:ascii="Verdana" w:eastAsia="Times New Roman" w:hAnsi="Verdana" w:cs="Times New Roman"/>
      <w:b/>
      <w:i/>
      <w:kern w:val="32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Szczepańczyk</dc:creator>
  <cp:keywords/>
  <dc:description/>
  <cp:lastModifiedBy>Maciej Szczepańczyk</cp:lastModifiedBy>
  <cp:revision>1</cp:revision>
  <dcterms:created xsi:type="dcterms:W3CDTF">2014-01-12T11:51:00Z</dcterms:created>
  <dcterms:modified xsi:type="dcterms:W3CDTF">2014-01-12T11:59:00Z</dcterms:modified>
</cp:coreProperties>
</file>